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72"/>
          <w:szCs w:val="144"/>
          <w:lang w:val="en-US" w:eastAsia="zh-CN"/>
        </w:rPr>
      </w:pPr>
      <w:r>
        <w:rPr>
          <w:rFonts w:hint="eastAsia" w:eastAsiaTheme="minorEastAsia"/>
          <w:sz w:val="72"/>
          <w:szCs w:val="144"/>
          <w:lang w:eastAsia="zh-CN"/>
        </w:rPr>
        <w:t>漩涡混匀器</w:t>
      </w:r>
      <w:r>
        <w:rPr>
          <w:rFonts w:hint="eastAsia"/>
          <w:sz w:val="72"/>
          <w:szCs w:val="144"/>
          <w:lang w:val="en-US" w:eastAsia="zh-CN"/>
        </w:rPr>
        <w:t>操作说明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4635" cy="2118360"/>
            <wp:effectExtent l="0" t="0" r="12065" b="2540"/>
            <wp:docPr id="1" name="图片 1" descr="f88d339a4ea050f630730263653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8d339a4ea050f630730263653052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/>
          <w:sz w:val="44"/>
          <w:szCs w:val="52"/>
          <w:lang w:val="en-US" w:eastAsia="zh-CN"/>
        </w:rPr>
      </w:pPr>
      <w:r>
        <w:drawing>
          <wp:inline distT="0" distB="0" distL="114300" distR="114300">
            <wp:extent cx="951865" cy="822960"/>
            <wp:effectExtent l="0" t="0" r="63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52"/>
          <w:lang w:eastAsia="zh-CN"/>
        </w:rPr>
        <w:t>：</w:t>
      </w:r>
      <w:r>
        <w:rPr>
          <w:rFonts w:hint="eastAsia"/>
          <w:sz w:val="44"/>
          <w:szCs w:val="52"/>
          <w:lang w:val="en-US" w:eastAsia="zh-CN"/>
        </w:rPr>
        <w:t>开关</w:t>
      </w:r>
    </w:p>
    <w:p>
      <w:pPr>
        <w:jc w:val="both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（向左按下 --- 连续运转；</w:t>
      </w:r>
    </w:p>
    <w:p>
      <w:pPr>
        <w:ind w:firstLine="440" w:firstLineChars="100"/>
        <w:jc w:val="both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向右按下 --- 样品向下按压时运转）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933450" cy="997585"/>
            <wp:effectExtent l="0" t="0" r="635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eastAsia="zh-CN"/>
        </w:rPr>
        <w:t>：</w:t>
      </w:r>
      <w:r>
        <w:rPr>
          <w:rFonts w:hint="eastAsia"/>
          <w:sz w:val="44"/>
          <w:szCs w:val="44"/>
          <w:lang w:val="en-US" w:eastAsia="zh-CN"/>
        </w:rPr>
        <w:t>转速调节</w:t>
      </w:r>
      <w:bookmarkStart w:id="0" w:name="_GoBack"/>
      <w:bookmarkEnd w:id="0"/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使用：将开关向左或向右按下，调大转速。将样品管封口置于混匀器上方混匀。（开关向右时需将样品管向下按压才可混匀）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关机：将转速旋至最小（最左侧），将开关置于中间。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注意事项：使用结束一定要关机，避免电机长时间运转。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3B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2023-06-09T02:59:16Z</dcterms:created>
  <dc:creator>16351</dc:creator>
  <cp:lastModifiedBy>傲火</cp:lastModifiedBy>
  <dcterms:modified xsi:type="dcterms:W3CDTF">2023-06-09T03:08:39Z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CCF0DE20CCC24726983E900A6F4D5224_12</vt:lpwstr>
  </property>
</Properties>
</file>